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647D" w:rsidRPr="005E543F" w:rsidRDefault="005E543F" w:rsidP="005E543F">
      <w:pPr>
        <w:spacing w:after="0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E543F">
        <w:rPr>
          <w:rFonts w:ascii="Times New Roman" w:hAnsi="Times New Roman" w:cs="Times New Roman"/>
          <w:bCs/>
          <w:sz w:val="28"/>
          <w:szCs w:val="28"/>
          <w:highlight w:val="yellow"/>
        </w:rPr>
        <w:t>Исследование программного кода на предмет ошибок и отклонения от алгоритма</w:t>
      </w:r>
      <w:r w:rsidRPr="005E543F">
        <w:rPr>
          <w:rFonts w:ascii="Times New Roman" w:hAnsi="Times New Roman" w:cs="Times New Roman"/>
          <w:bCs/>
          <w:sz w:val="28"/>
          <w:szCs w:val="28"/>
          <w:highlight w:val="yellow"/>
        </w:rPr>
        <w:t>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Тестирование программного кода – процесс выполнения программного кода, направленный на выявление существующих в нем дефектов. Под дефектом здесь понимается участок программного кода, выполнение которого при определенных условиях приводит к неожиданному поведению системы (т.е. поведению, не соответствующему требованиям). Неожиданное поведение системы может приводить к сбоям в ее работе и отказам, в этом случае говорят о существенных дефектах программного кода. Некоторые дефекты вызывают незначительные проблемы, не нарушающие процесс функционирования системы, но несколько затрудняющие работу с ней. В этом случае говорят о средних или малозначительных дефектах.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Задача тестирования при таком подходе – определение условий, при которых проявляются дефекты системы и протоколирование этих условий. В задачи тестирования обычно не входит выявление конкретных дефектных участков программного кода и никогда не входит исправление дефектов – это задача отладки, которая выполняется по результатам тестирования системы.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Цель применения процедуры тестирования программного кода – минимизация количества дефектов, в особенности существенных, в конечном продукте. Тестирование само по себе не может гарантировать полного отсутствия дефектов в программном коде системы. Однако, в сочетании с процессами верификации и </w:t>
      </w:r>
      <w:proofErr w:type="spellStart"/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валидации</w:t>
      </w:r>
      <w:proofErr w:type="spellEnd"/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направленными на устранение противоречивости и неполноты проектной документации (в частности – требований на систему), грамотно организованное тестирование дает гарантию того, что система удовлетворяет требованиям и ведет себя в соответствии с ними во всех предусмотренных ситуациях.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 разработке систем повышенной надежности, например, авиационных, гарантии надежности достигаются при помощи четкой организации процесса тестирования, определения его связи с остальными процессами жизненного цикла, введения количественных характеристик, позволяющих оценивать успешность тестирования. При этом, чем выше требования к надежности системы (ее уровень критичности), тем более жесткие требования предъявляются.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Таким образом, в первую очередь мы рассматриваем не конкретные результаты тестирования конкретной системы, а общую организацию процесса тестирования, используя подход «хорошо организованный процесс дает качественный результат». Такой подход является общим для многих международных и отраслевых стандартах качества, о которых более подробно будет рассказано в конце данного курса. Качество разрабатываемой системы при таком подходе является следствием организованного процесса разработки и тестирования, а не самостоятельным неуправляемым результатом.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bookmarkStart w:id="0" w:name="_GoBack"/>
      <w:bookmarkEnd w:id="0"/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Поскольку современные программные системы имеют весьма значительные размеры, при тестировании их программного кода используется метод функциональной декомпозиции. Система разбивается на отдельные модули (классы, пространства имен и т.п.), имеющие определенную требованиями функциональность и интерфейсы. После этого по отдельности тестируется каждый модуль – выполняется модульное тестирование. Затем выполняется сборка отдельных модулей в более крупные конфигурации – выполняется интеграционное тестирование, и наконец, тестируется система в целом – выполняется системное тестирование.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 точки зрения программного кода, модульное, интеграционное и системное тестирование имеют много общего, поэтому в данной теме основное внимание будет уделено модульному тестированию, особенности интеграционного и системного тестирования будут рассмотрены позднее.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ходе модульного тестирования каждый модуль тестируется как на соответствие требованиям, так и на отсутствие проблемных участков программного кода, могущих вызвать отказы и сбои в работе системы. Как правило, модули не работают вне системы – они принимают данные от других модулей, перерабатывают их и передают дальше. Для того, чтобы с одной стороны, изолировать модуль от системы и исключить влияние потенциальных ошибок системы, а с другой стороны – обеспечить модуль всеми необходимыми данными, используется тестовое окружение.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Задача тестового окружения – создать среду выполнения для модуля, эмулировать все внешние интерфейсы, к которым обращается модуль. Об особенностях организации тестового окружения пойдет речь в данной теме.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Типичная процедура тестирования состоит в подготовке и выполнении тестовых примеров (также называемых просто тестами). Каждый тестовый пример проверяет одну «ситуацию» в поведении модуля и состоит из списка значений, передаваемых на вход модуля, описания запуска и выполнения переработки данных – тестового сценария, и списка значений, которые ожидаются на выходе модуля в случае его корректного поведения. Тестовые сценарии составляются таким образом, чтобы исключить обращения к внутренним данным модуля, все взаимодействие должно происходить только через его внешние интерфейсы.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Выполнение тестового примера поддерживается тестовым окружением, которое включает в себя программную реализацию тестового сценария. Выполнение начинается с передачи модулю входных данных и запуска сценария. Реальные выходные данные, полученные от модуля в результате выполнения сценария сохраняются и сравниваются с ожидаемыми. В случае их совпадения тест считается пройденным, в противном случае – не пройденным. Каждый не пройденный тест указывает либо на дефект в тестируемом модуле, либо в тестовом окружении, либо в описании теста.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Совокупность описаний тестовых примеров составляет тест-план – основной документ, определяющий процедуру тестирования программного модуля. Тест-план задает не только сами тестовые примеры, но и порядок их следования, который также может быть важен. Структура и особенности тест-планов будут рассмотрены в данной теме, проблемы, связанные с порядком следования тестовых примеров – в теме «Повторяемость тестирования».</w:t>
      </w:r>
    </w:p>
    <w:p w:rsidR="005E543F" w:rsidRPr="005E543F" w:rsidRDefault="005E543F" w:rsidP="005E54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E543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 тестировании часто бывает необходимо учитывать не только требования к системе, но и структуру программного кода тестируемого модуля. В этом случае тесты составляются таким образом, чтобы детектировать типичные ошибки программистов, вызванные неверной интерпретацией требований. Применяются проверки граничных условий, проверки классов эквивалентности. Отсутствие в системе возможностей, не заданных требованиями, гарантируют различные оценки покрытия программного кода тестами, т.е. оценки того, какой процент тех или иных языковых конструкций выполнен в результате выполнения всех тестовых примеров. Обо всем этом пойдет речь в завершение данной темы.</w:t>
      </w:r>
    </w:p>
    <w:p w:rsidR="005E543F" w:rsidRDefault="005E543F" w:rsidP="005E543F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</w:pPr>
      <w:r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  <w:t xml:space="preserve">- </w:t>
      </w:r>
      <w:hyperlink r:id="rId5" w:history="1">
        <w:r w:rsidRPr="00970558">
          <w:rPr>
            <w:rStyle w:val="a4"/>
            <w:rFonts w:ascii="Georgia" w:eastAsia="Times New Roman" w:hAnsi="Georgia" w:cs="Times New Roman"/>
            <w:sz w:val="24"/>
            <w:szCs w:val="24"/>
            <w:lang w:eastAsia="ru-RU"/>
          </w:rPr>
          <w:t>https://intuit.ru/studies/courses/1040/209/lecture/5385</w:t>
        </w:r>
      </w:hyperlink>
      <w:r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  <w:t xml:space="preserve"> - методы тестирования</w:t>
      </w:r>
    </w:p>
    <w:p w:rsidR="005E543F" w:rsidRPr="005E543F" w:rsidRDefault="005E543F" w:rsidP="005E543F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</w:pPr>
    </w:p>
    <w:p w:rsidR="005E543F" w:rsidRDefault="005E543F" w:rsidP="005E543F">
      <w:r>
        <w:rPr>
          <w:noProof/>
          <w:lang w:eastAsia="ru-RU"/>
        </w:rPr>
        <w:drawing>
          <wp:inline distT="0" distB="0" distL="0" distR="0" wp14:anchorId="0097EFB9" wp14:editId="5FD42F6C">
            <wp:extent cx="5734050" cy="9239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4677" t="38944" r="17626" b="50928"/>
                    <a:stretch/>
                  </pic:blipFill>
                  <pic:spPr bwMode="auto">
                    <a:xfrm>
                      <a:off x="0" y="0"/>
                      <a:ext cx="5769309" cy="929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43F" w:rsidRPr="005E543F" w:rsidRDefault="005E543F" w:rsidP="005E543F">
      <w:r>
        <w:rPr>
          <w:noProof/>
          <w:lang w:eastAsia="ru-RU"/>
        </w:rPr>
        <w:drawing>
          <wp:inline distT="0" distB="0" distL="0" distR="0" wp14:anchorId="3F90A3A8" wp14:editId="2AE331E2">
            <wp:extent cx="5734050" cy="914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4677" t="52622" r="17626" b="37355"/>
                    <a:stretch/>
                  </pic:blipFill>
                  <pic:spPr bwMode="auto">
                    <a:xfrm>
                      <a:off x="0" y="0"/>
                      <a:ext cx="5769309" cy="920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E543F" w:rsidRPr="005E54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17C3F"/>
    <w:multiLevelType w:val="multilevel"/>
    <w:tmpl w:val="AAD400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A158B4"/>
    <w:multiLevelType w:val="multilevel"/>
    <w:tmpl w:val="4EC67C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4361F5"/>
    <w:multiLevelType w:val="multilevel"/>
    <w:tmpl w:val="A55EA2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F17C9C"/>
    <w:multiLevelType w:val="multilevel"/>
    <w:tmpl w:val="5D4A4F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DD0180"/>
    <w:multiLevelType w:val="multilevel"/>
    <w:tmpl w:val="999CA6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DA555D"/>
    <w:multiLevelType w:val="multilevel"/>
    <w:tmpl w:val="5666E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E0C057B"/>
    <w:multiLevelType w:val="multilevel"/>
    <w:tmpl w:val="C302B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B2625F6"/>
    <w:multiLevelType w:val="multilevel"/>
    <w:tmpl w:val="15EC66D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78A1F62"/>
    <w:multiLevelType w:val="multilevel"/>
    <w:tmpl w:val="694C2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C41662D"/>
    <w:multiLevelType w:val="multilevel"/>
    <w:tmpl w:val="412C9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7413ABB"/>
    <w:multiLevelType w:val="multilevel"/>
    <w:tmpl w:val="BCA80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A7E1896"/>
    <w:multiLevelType w:val="multilevel"/>
    <w:tmpl w:val="AB2AEF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"/>
  </w:num>
  <w:num w:numId="3">
    <w:abstractNumId w:val="9"/>
  </w:num>
  <w:num w:numId="4">
    <w:abstractNumId w:val="7"/>
  </w:num>
  <w:num w:numId="5">
    <w:abstractNumId w:val="4"/>
  </w:num>
  <w:num w:numId="6">
    <w:abstractNumId w:val="11"/>
  </w:num>
  <w:num w:numId="7">
    <w:abstractNumId w:val="2"/>
  </w:num>
  <w:num w:numId="8">
    <w:abstractNumId w:val="3"/>
  </w:num>
  <w:num w:numId="9">
    <w:abstractNumId w:val="10"/>
  </w:num>
  <w:num w:numId="10">
    <w:abstractNumId w:val="5"/>
  </w:num>
  <w:num w:numId="11">
    <w:abstractNumId w:val="6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5634"/>
    <w:rsid w:val="005E543F"/>
    <w:rsid w:val="0083647D"/>
    <w:rsid w:val="00E05634"/>
    <w:rsid w:val="00F65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6D5F86-CA2E-4EE2-AAF6-E02F4E8AF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F65A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65A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F65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5E543F"/>
    <w:rPr>
      <w:color w:val="0000FF"/>
      <w:u w:val="single"/>
    </w:rPr>
  </w:style>
  <w:style w:type="character" w:customStyle="1" w:styleId="gc30b4277">
    <w:name w:val="gc30b4277"/>
    <w:basedOn w:val="a0"/>
    <w:rsid w:val="005E543F"/>
  </w:style>
  <w:style w:type="character" w:customStyle="1" w:styleId="aac910fee">
    <w:name w:val="aac910fee"/>
    <w:basedOn w:val="a0"/>
    <w:rsid w:val="005E54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54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28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143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80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108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7881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78504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8441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4721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2565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0301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76581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47618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08638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44491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027488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778660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486045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643089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69414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21414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523369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9142394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72490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942553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08494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43155078">
                                                                  <w:marLeft w:val="0"/>
                                                                  <w:marRight w:val="0"/>
                                                                  <w:marTop w:val="270"/>
                                                                  <w:marBottom w:val="24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696279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4356203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34807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2384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247648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4723874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955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68638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9918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60153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46937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3116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1796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80279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27748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122704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675086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660984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92008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717394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3332911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3368816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536035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022856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422724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6622016">
                                                                  <w:marLeft w:val="0"/>
                                                                  <w:marRight w:val="0"/>
                                                                  <w:marTop w:val="270"/>
                                                                  <w:marBottom w:val="24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221142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37625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83868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02991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2896406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717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intuit.ru/studies/courses/1040/209/lecture/5385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984</Words>
  <Characters>5614</Characters>
  <Application>Microsoft Office Word</Application>
  <DocSecurity>0</DocSecurity>
  <Lines>46</Lines>
  <Paragraphs>13</Paragraphs>
  <ScaleCrop>false</ScaleCrop>
  <Company/>
  <LinksUpToDate>false</LinksUpToDate>
  <CharactersWithSpaces>6585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Master118</dc:creator>
  <cp:keywords/>
  <dc:description/>
  <cp:lastModifiedBy>Master118</cp:lastModifiedBy>
  <cp:revision>3</cp:revision>
  <dcterms:created xsi:type="dcterms:W3CDTF">2023-01-20T12:53:00Z</dcterms:created>
  <dcterms:modified xsi:type="dcterms:W3CDTF">2023-01-20T12:58:00Z</dcterms:modified>
</cp:coreProperties>
</file>