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Ф.И.О. преподавателей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Багрий Е.Н.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Наименование УД/МДК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МДК. 06.02 Инженерно-техническая поддержка </w:t>
      </w:r>
    </w:p>
    <w:p w:rsidR="00000000" w:rsidDel="00000000" w:rsidP="00000000" w:rsidRDefault="00000000" w:rsidRPr="00000000" w14:paraId="00000004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№ урока по КТП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3-4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урок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Организация процесса обновления в информационной системе. Регламенты обновления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Количество часов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часа.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Основная литература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A.A. Ермолаев, В. М. Дёмкин. Управление проектами по разработке программных продуктов</w:t>
      </w:r>
    </w:p>
    <w:p w:rsidR="00000000" w:rsidDel="00000000" w:rsidP="00000000" w:rsidRDefault="00000000" w:rsidRPr="00000000" w14:paraId="00000008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Цель:.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Ход работы: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spacing w:after="300" w:before="300" w:line="276" w:lineRule="auto"/>
        <w:ind w:left="300" w:right="300" w:firstLine="0"/>
        <w:jc w:val="both"/>
        <w:rPr>
          <w:rFonts w:ascii="Times New Roman" w:cs="Times New Roman" w:eastAsia="Times New Roman" w:hAnsi="Times New Roman"/>
          <w:b w:val="0"/>
          <w:color w:val="232323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color w:val="232323"/>
          <w:sz w:val="22"/>
          <w:szCs w:val="22"/>
          <w:rtl w:val="0"/>
        </w:rPr>
        <w:t xml:space="preserve">Обновление и модернизация информационных систем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after="300" w:before="300" w:line="276" w:lineRule="auto"/>
        <w:ind w:left="300" w:right="300" w:firstLine="0"/>
        <w:jc w:val="both"/>
        <w:rPr>
          <w:rFonts w:ascii="Times New Roman" w:cs="Times New Roman" w:eastAsia="Times New Roman" w:hAnsi="Times New Roman"/>
          <w:b w:val="0"/>
          <w:color w:val="232323"/>
          <w:sz w:val="22"/>
          <w:szCs w:val="22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color w:val="232323"/>
          <w:sz w:val="22"/>
          <w:szCs w:val="22"/>
          <w:rtl w:val="0"/>
        </w:rPr>
        <w:t xml:space="preserve">Модернизация и обновление системы</w:t>
      </w:r>
    </w:p>
    <w:p w:rsidR="00000000" w:rsidDel="00000000" w:rsidP="00000000" w:rsidRDefault="00000000" w:rsidRPr="00000000" w14:paraId="0000000D">
      <w:pPr>
        <w:spacing w:after="300" w:before="300" w:line="276" w:lineRule="auto"/>
        <w:ind w:left="300" w:right="300" w:firstLine="0"/>
        <w:jc w:val="both"/>
        <w:rPr>
          <w:rFonts w:ascii="Times New Roman" w:cs="Times New Roman" w:eastAsia="Times New Roman" w:hAnsi="Times New Roman"/>
          <w:color w:val="232323"/>
        </w:rPr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Своевременное выполнение обновлений поможет избежать следующих негативных последствий: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before="12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развитие информационной системы под требования бизнеса только за счет собственных разработок;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увеличение количества собственных разработок приводит только к установке нот и обновлений, устраняющих ошибки и необходимых для выполнения требований изменения законодательства. Со временем установка таких обновления становится все более трудоемкой;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увеличение стоимости поддержки информационных систем;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завершение поддержки производителей устаревших баз данных и операционных систем;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12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снижение общего уровня безопасности системы.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300" w:before="300" w:line="276" w:lineRule="auto"/>
        <w:ind w:left="300" w:right="300" w:firstLine="0"/>
        <w:jc w:val="both"/>
        <w:rPr>
          <w:rFonts w:ascii="Times New Roman" w:cs="Times New Roman" w:eastAsia="Times New Roman" w:hAnsi="Times New Roman"/>
          <w:color w:val="232323"/>
        </w:rPr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Обновление </w:t>
      </w:r>
    </w:p>
    <w:p w:rsidR="00000000" w:rsidDel="00000000" w:rsidP="00000000" w:rsidRDefault="00000000" w:rsidRPr="00000000" w14:paraId="00000014">
      <w:pPr>
        <w:spacing w:after="300" w:before="300" w:line="276" w:lineRule="auto"/>
        <w:ind w:left="300" w:right="300" w:firstLine="0"/>
        <w:jc w:val="both"/>
        <w:rPr>
          <w:rFonts w:ascii="Times New Roman" w:cs="Times New Roman" w:eastAsia="Times New Roman" w:hAnsi="Times New Roman"/>
          <w:color w:val="232323"/>
        </w:rPr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Процесс обновления систем заключается в последовательном выполнении следующих этапов: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before="12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32323"/>
          <w:rtl w:val="0"/>
        </w:rPr>
        <w:t xml:space="preserve">Обследование</w:t>
      </w: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. На этом этапе определяется уровень обновлений системы, подключение дополнительных функциональных возможностей. Проводится сбор информации об объеме внедрения бизнес-процессов, операций по ним и определяется объем тестирования. Также осуществляется анализ объема, модифицированного ПО и собственных разработок.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32323"/>
          <w:rtl w:val="0"/>
        </w:rPr>
        <w:t xml:space="preserve">Подготовка плана перехода.</w:t>
      </w: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 Производится подготовка тестовой системы (копия продуктивной), ее обновление, анализ и корректировка затронутого модифицированного ПО; тестирование работы системы, регистрация и решение проблем; создание перечня мероприятий для перехода. Затем проводится повторное разворачивание тестовой системы, ее обновление, тестирование и применение плана мероприятий. Производится планирование сроков этапов перехода, оценка рисков и возможность дополнительных мероприятий по их снижению. В итоге определяется период неработоспособности продуктивной системы, разрабатывается и утверждается документ «План перехода»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32323"/>
          <w:rtl w:val="0"/>
        </w:rPr>
        <w:t xml:space="preserve">Выполнение плана перехода</w:t>
      </w: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. Заключается в последовательном выполнении мероприятий, описанных в документе "План перехода".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12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32323"/>
          <w:rtl w:val="0"/>
        </w:rPr>
        <w:t xml:space="preserve">Поддержка пользователей. </w:t>
      </w: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После переноса обновлений в продуктивную систему заказчика осуществляется оперативная поддержка пользователей и решение оставшихся проблем.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300" w:before="300" w:line="276" w:lineRule="auto"/>
        <w:ind w:left="300" w:right="300" w:firstLine="0"/>
        <w:jc w:val="both"/>
        <w:rPr>
          <w:rFonts w:ascii="Times New Roman" w:cs="Times New Roman" w:eastAsia="Times New Roman" w:hAnsi="Times New Roman"/>
          <w:color w:val="232323"/>
        </w:rPr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Миграция </w:t>
      </w:r>
    </w:p>
    <w:p w:rsidR="00000000" w:rsidDel="00000000" w:rsidP="00000000" w:rsidRDefault="00000000" w:rsidRPr="00000000" w14:paraId="0000001A">
      <w:pPr>
        <w:spacing w:after="300" w:before="300" w:line="276" w:lineRule="auto"/>
        <w:ind w:left="300" w:right="300" w:firstLine="0"/>
        <w:jc w:val="both"/>
        <w:rPr>
          <w:rFonts w:ascii="Times New Roman" w:cs="Times New Roman" w:eastAsia="Times New Roman" w:hAnsi="Times New Roman"/>
          <w:color w:val="232323"/>
        </w:rPr>
      </w:pP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Процесс миграции систем включает в себя следующие этапы: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before="12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32323"/>
          <w:rtl w:val="0"/>
        </w:rPr>
        <w:t xml:space="preserve">Обследование</w:t>
      </w: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. На этом этапе определяется перечень мероприятий.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32323"/>
          <w:rtl w:val="0"/>
        </w:rPr>
        <w:t xml:space="preserve">Подготовка плана миграции.</w:t>
      </w: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 Производится применение перечня мероприятий, подготовка стенда, проверяется работоспособность системы. Затем проводится тестовая миграция, в ходе которой уточняется, обновляется перечень мероприятий, а также определяется их длительность. На основе результатов этого процесса производится планирование сроков этапов миграции, оценка рисков и возможность дополнительных мероприятий по их снижению. В итоге определяется период неработоспособности продуктивной системы, разрабатывается и утверждается документ «План перехода»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32323"/>
          <w:rtl w:val="0"/>
        </w:rPr>
        <w:t xml:space="preserve">Выполнение плана миграции</w:t>
      </w: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. Заключается в последовательном выполнении мероприятий, описанных в документе.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120" w:before="0" w:line="276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32323"/>
          <w:rtl w:val="0"/>
        </w:rPr>
        <w:t xml:space="preserve">Поддержка пользователей. </w:t>
      </w:r>
      <w:r w:rsidDel="00000000" w:rsidR="00000000" w:rsidRPr="00000000">
        <w:rPr>
          <w:rFonts w:ascii="Times New Roman" w:cs="Times New Roman" w:eastAsia="Times New Roman" w:hAnsi="Times New Roman"/>
          <w:color w:val="232323"/>
          <w:rtl w:val="0"/>
        </w:rPr>
        <w:t xml:space="preserve">После миграции осуществляется оперативная поддержка пользователей и решение оставшихся пробле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Организация процесса обновления в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1155cc"/>
            <w:sz w:val="22"/>
            <w:szCs w:val="22"/>
            <w:u w:val="none"/>
            <w:shd w:fill="auto" w:val="clear"/>
            <w:vertAlign w:val="baseline"/>
            <w:rtl w:val="0"/>
          </w:rPr>
          <w:t xml:space="preserve">информационной системе Регламенты обновления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hd w:fill="ffffff" w:val="clear"/>
        <w:spacing w:after="0" w:before="24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развитие информационной системы под требования бизнеса только за счет собственных разработок;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увеличение количества собственных разработок приводит только к установке нот и обновлений, устраняющих ошибки и необходимых для выполнения требований изменения законодательства. Со временем установка таких обновления становится все более трудоемкой;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увеличение стоимости поддержки информационных систем;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завершение поддержки производителей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rtl w:val="0"/>
          </w:rPr>
          <w:t xml:space="preserve">устаревших баз данных и операционных систем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;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hd w:fill="ffffff" w:val="clear"/>
        <w:spacing w:after="24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снижение общего уровня безопасности системы.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Типы обновлений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hd w:fill="ffffff" w:val="clear"/>
        <w:spacing w:after="0" w:before="24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Частичное обновление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Полное обновление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spacing w:after="0" w:before="0" w:line="276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Промежуточное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spacing w:after="240" w:before="0" w:line="276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Квартальное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Частичное обновление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Каждое частичное обновление, выданное разработчиком, должно иметь ссылку на задачу, в которой описана проблема. Обновление ставится сначала на тестовую базу.</w:t>
      </w:r>
    </w:p>
    <w:p w:rsidR="00000000" w:rsidDel="00000000" w:rsidP="00000000" w:rsidRDefault="00000000" w:rsidRPr="00000000" w14:paraId="0000002C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highlight w:val="white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highlight w:val="white"/>
            <w:rtl w:val="0"/>
          </w:rPr>
          <w:t xml:space="preserve">Проверяется работоспособность функционала</w:t>
        </w:r>
      </w:hyperlink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по задаче, созданной на ресурсе. После установки обновления на тестовую базу, в случае соответствия функционала, описанному в задаче, обновление устанавливается на рабочую базу и ожидает проверки конечного пользователя.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Частичное обновление выкладывается в случае возникновения критической ошибки в работе функционала, а так же при потребности передачи функционала до установки полного обновления.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Полное обновление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зависимости от потребности может собираться как полное квартальное обновление, так и полное промежуточное.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hd w:fill="ffffff" w:val="clear"/>
        <w:spacing w:after="0" w:before="24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Промежуточное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hd w:fill="ffffff" w:val="clear"/>
        <w:spacing w:after="24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(содержит описание и список задач по фильтру). В первый рабочий день обновление устанавливается на тестовую базу данных. Срок тестирования 2 дня. В случае обнаружения критических ошибок срок установке сдвигается до их исправления.Квартальное</w:t>
      </w:r>
    </w:p>
    <w:p w:rsidR="00000000" w:rsidDel="00000000" w:rsidP="00000000" w:rsidRDefault="00000000" w:rsidRPr="00000000" w14:paraId="00000032">
      <w:pPr>
        <w:spacing w:after="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Обновление выкладывается в отдельную задачу для установки на тестовую базу.</w:t>
        <w:br w:type="textWrapping"/>
        <w:t xml:space="preserve">В течение 3х дней обновление должно быть установлено на тестовую базу.</w:t>
        <w:br w:type="textWrapping"/>
        <w:t xml:space="preserve">Тестовую базу перед установкой обновления следует актуализировать до состояния рабочей базы данных на текущий момент. Со дня установки релиза начинается тестирование согласно Приложению 1 к регламенту Тестирования и установки обновлений (срок тестирования 15 рабочих дней)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Простое обновление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Процесс обновления систем заключается в последовательном выполнении следующих этапов: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hd w:fill="ffffff" w:val="clear"/>
        <w:spacing w:after="0" w:before="24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Обследование. На этом этапе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rtl w:val="0"/>
          </w:rPr>
          <w:t xml:space="preserve">определяется уровень обновлений системы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подключение дополнительных функциональных возможностей. Проводится сбор информации об объеме внедрения бизнес-процессов, операций по ним и определяется объем тестирования. Также осуществляется анализ объема, модифицированного ПО и собственных разработок.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Подготовка плана перехода. Производится подготовка тестовой системы (копия продуктивной), ее обновление, анализ и корректировка затронутого модифицированного ПО; тестирование работы системы, регистрация и решение проблем; создание перечня мероприятий для перехода. Затем проводится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rtl w:val="0"/>
          </w:rPr>
          <w:t xml:space="preserve">повторное разворачивание тестовой системы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ее обновление, тестирование и применение плана мероприятий.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Производится планирование сроков этапов перехода, оценка рисков и возможность дополнительных мероприятий по их снижению. В итоге определяется период неработоспособности продуктивной системы, разрабатывается и утверждается документ «План перехода»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Выполнение плана перехода. Заключается в последовательном выполнении мероприятий, описанных в документе "План перехода".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hd w:fill="ffffff" w:val="clear"/>
        <w:spacing w:after="24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Поддержка пользователей. После переноса обновлений в продуктивную систему заказчика осуществляется оперативная поддержка пользователей и решение оставшихся проблем.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Миграция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80" w:before="36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Процесс миграции систем включает в себя следующие этапы:</w:t>
      </w:r>
    </w:p>
    <w:p w:rsidR="00000000" w:rsidDel="00000000" w:rsidP="00000000" w:rsidRDefault="00000000" w:rsidRPr="00000000" w14:paraId="0000003C">
      <w:pPr>
        <w:numPr>
          <w:ilvl w:val="0"/>
          <w:numId w:val="8"/>
        </w:numPr>
        <w:shd w:fill="ffffff" w:val="clear"/>
        <w:spacing w:after="0" w:before="24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Обследование. На этом этапе определяется перечень мероприятий.</w:t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Подготовка плана миграции. Производится применение перечня мероприятий, подготовка стенда, проверяется работоспособность системы. Затем проводится тестовая миграция, в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rtl w:val="0"/>
          </w:rPr>
          <w:t xml:space="preserve">ходе которой уточняется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обновляется перечень мероприятий, а также определяется их длительность. На основе результатов этого процесса производится планирование сроков этапов миграции, оценка рисков и возможность дополнительных мероприятий по их снижению. В итоге определяется период неработоспособности продуктивной системы, разрабатывается и утверждается документ «План перехода»</w:t>
      </w:r>
    </w:p>
    <w:p w:rsidR="00000000" w:rsidDel="00000000" w:rsidP="00000000" w:rsidRDefault="00000000" w:rsidRPr="00000000" w14:paraId="0000003E">
      <w:pPr>
        <w:numPr>
          <w:ilvl w:val="0"/>
          <w:numId w:val="8"/>
        </w:numPr>
        <w:shd w:fill="ffffff" w:val="clear"/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Выполнение плана миграции. Заключается в последовательном выполнении мероприятий, описанных в документе.</w:t>
      </w:r>
    </w:p>
    <w:p w:rsidR="00000000" w:rsidDel="00000000" w:rsidP="00000000" w:rsidRDefault="00000000" w:rsidRPr="00000000" w14:paraId="0000003F">
      <w:pPr>
        <w:numPr>
          <w:ilvl w:val="0"/>
          <w:numId w:val="8"/>
        </w:numPr>
        <w:shd w:fill="ffffff" w:val="clear"/>
        <w:spacing w:after="24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Поддержка пользователей. После миграции осуществляется оперативная поддержка пользователей и решение оставшихся проблем.</w:t>
      </w:r>
    </w:p>
    <w:p w:rsidR="00000000" w:rsidDel="00000000" w:rsidP="00000000" w:rsidRDefault="00000000" w:rsidRPr="00000000" w14:paraId="00000040">
      <w:pPr>
        <w:spacing w:after="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2.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Оформите в тетради конспект по лекции, сделать отчёт о проделанной работе. Сделать вывод.</w:t>
      </w:r>
    </w:p>
    <w:p w:rsidR="00000000" w:rsidDel="00000000" w:rsidP="00000000" w:rsidRDefault="00000000" w:rsidRPr="00000000" w14:paraId="00000042">
      <w:pPr>
        <w:spacing w:after="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40" w:before="240" w:line="276" w:lineRule="auto"/>
        <w:ind w:left="6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 </w:t>
        <w:tab/>
        <w:t xml:space="preserve">Сохранить проект.</w:t>
      </w:r>
    </w:p>
    <w:p w:rsidR="00000000" w:rsidDel="00000000" w:rsidP="00000000" w:rsidRDefault="00000000" w:rsidRPr="00000000" w14:paraId="00000044">
      <w:pPr>
        <w:spacing w:after="0" w:line="276" w:lineRule="auto"/>
        <w:ind w:left="6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     Сохранить проект. Скриншот вставить в отчет.</w:t>
      </w:r>
    </w:p>
    <w:p w:rsidR="00000000" w:rsidDel="00000000" w:rsidP="00000000" w:rsidRDefault="00000000" w:rsidRPr="00000000" w14:paraId="00000045">
      <w:pPr>
        <w:spacing w:after="0" w:line="276" w:lineRule="auto"/>
        <w:ind w:left="6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     Сделать вывод о проделанной работе.</w:t>
      </w:r>
    </w:p>
    <w:p w:rsidR="00000000" w:rsidDel="00000000" w:rsidP="00000000" w:rsidRDefault="00000000" w:rsidRPr="00000000" w14:paraId="00000046">
      <w:pPr>
        <w:spacing w:after="0" w:line="276" w:lineRule="auto"/>
        <w:ind w:left="6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 </w:t>
        <w:tab/>
        <w:t xml:space="preserve">Оформить занятие в тетрадь и сдать в Google-класс.</w:t>
      </w:r>
    </w:p>
    <w:p w:rsidR="00000000" w:rsidDel="00000000" w:rsidP="00000000" w:rsidRDefault="00000000" w:rsidRPr="00000000" w14:paraId="00000047">
      <w:pPr>
        <w:spacing w:after="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134" w:top="709" w:left="1134" w:right="850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22.0" w:type="dxa"/>
      <w:jc w:val="right"/>
      <w:tblLayout w:type="fixed"/>
      <w:tblLook w:val="0400"/>
    </w:tblPr>
    <w:tblGrid>
      <w:gridCol w:w="9426"/>
      <w:gridCol w:w="496"/>
      <w:tblGridChange w:id="0">
        <w:tblGrid>
          <w:gridCol w:w="9426"/>
          <w:gridCol w:w="49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5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ЕГОР БАГРИЙ</w:t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5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922.0" w:type="dxa"/>
      <w:jc w:val="center"/>
      <w:tblLayout w:type="fixed"/>
      <w:tblLook w:val="0400"/>
    </w:tblPr>
    <w:tblGrid>
      <w:gridCol w:w="4967"/>
      <w:gridCol w:w="4955"/>
      <w:tblGridChange w:id="0">
        <w:tblGrid>
          <w:gridCol w:w="4967"/>
          <w:gridCol w:w="4955"/>
        </w:tblGrid>
      </w:tblGridChange>
    </w:tblGrid>
    <w:tr>
      <w:trPr>
        <w:cantSplit w:val="0"/>
        <w:tblHeader w:val="0"/>
      </w:trPr>
      <w:tc>
        <w:tcPr>
          <w:shd w:fill="ed7d31" w:val="clear"/>
          <w:vAlign w:val="center"/>
        </w:tcPr>
        <w:p w:rsidR="00000000" w:rsidDel="00000000" w:rsidP="00000000" w:rsidRDefault="00000000" w:rsidRPr="00000000" w14:paraId="0000004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</w:t>
          </w:r>
          <w:r w:rsidDel="00000000" w:rsidR="00000000" w:rsidRPr="00000000">
            <w:rPr>
              <w:rtl w:val="0"/>
            </w:rPr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4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15" w:hRule="atLeast"/>
        <w:tblHeader w:val="0"/>
      </w:trPr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4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4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32323"/>
        <w:sz w:val="28"/>
        <w:szCs w:val="2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32323"/>
        <w:sz w:val="28"/>
        <w:szCs w:val="2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32323"/>
        <w:sz w:val="28"/>
        <w:szCs w:val="2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ind w:left="435"/>
    </w:pPr>
    <w:rPr>
      <w:rFonts w:ascii="Times New Roman" w:cs="Times New Roman" w:eastAsia="Times New Roman" w:hAnsi="Times New Roman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opuch.com/rabochaya-programma-disciplini-modulya-teoriya-i-tehnologii-ra/index.html" TargetMode="External"/><Relationship Id="rId10" Type="http://schemas.openxmlformats.org/officeDocument/2006/relationships/hyperlink" Target="https://topuch.com/laboratornaya-rabota-razvorachivanie-hadoop-na-klastere-iz-odn/index.html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opuch.com/-istochnik-urovene-slojnosti--1/index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topuch.com/4-obnovlenie-opredelenie-naznachenie-organizaciya-processa-obn/index.html" TargetMode="External"/><Relationship Id="rId7" Type="http://schemas.openxmlformats.org/officeDocument/2006/relationships/hyperlink" Target="https://topuch.com/bezopasnoste-operacionnih-sistem-i-baz-dannih-obuchenie/index.html" TargetMode="External"/><Relationship Id="rId8" Type="http://schemas.openxmlformats.org/officeDocument/2006/relationships/hyperlink" Target="https://topuch.com/formirovanie-predlojeniya-o-rasshirenii-funkcionala-informacio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